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7B" w:rsidRDefault="006A087B" w:rsidP="006A087B">
      <w:pPr>
        <w:rPr>
          <w:b/>
        </w:rPr>
      </w:pPr>
      <w:bookmarkStart w:id="0" w:name="_GoBack"/>
      <w:bookmarkEnd w:id="0"/>
      <w:r>
        <w:rPr>
          <w:b/>
        </w:rPr>
        <w:t xml:space="preserve">Table S2 </w:t>
      </w:r>
      <w:r>
        <w:t>Bivariate genotypic correlations</w:t>
      </w:r>
    </w:p>
    <w:tbl>
      <w:tblPr>
        <w:tblStyle w:val="TableGrid"/>
        <w:tblW w:w="11340" w:type="dxa"/>
        <w:tblLayout w:type="fixed"/>
        <w:tblLook w:val="04A0" w:firstRow="1" w:lastRow="0" w:firstColumn="1" w:lastColumn="0" w:noHBand="0" w:noVBand="1"/>
      </w:tblPr>
      <w:tblGrid>
        <w:gridCol w:w="1260"/>
        <w:gridCol w:w="1080"/>
        <w:gridCol w:w="1080"/>
        <w:gridCol w:w="810"/>
        <w:gridCol w:w="900"/>
        <w:gridCol w:w="720"/>
        <w:gridCol w:w="990"/>
        <w:gridCol w:w="810"/>
        <w:gridCol w:w="1080"/>
        <w:gridCol w:w="900"/>
        <w:gridCol w:w="810"/>
        <w:gridCol w:w="900"/>
      </w:tblGrid>
      <w:tr w:rsidR="006A087B" w:rsidRPr="00E6487B" w:rsidTr="00034FA5">
        <w:trPr>
          <w:trHeight w:val="304"/>
        </w:trPr>
        <w:tc>
          <w:tcPr>
            <w:tcW w:w="1260" w:type="dxa"/>
            <w:noWrap/>
          </w:tcPr>
          <w:p w:rsidR="006A087B" w:rsidRDefault="006A087B" w:rsidP="00034FA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Fecundity</w:t>
            </w:r>
          </w:p>
        </w:tc>
        <w:tc>
          <w:tcPr>
            <w:tcW w:w="108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Stem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Diameter</w:t>
            </w:r>
          </w:p>
        </w:tc>
        <w:tc>
          <w:tcPr>
            <w:tcW w:w="81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Plant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90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Petiole Length</w:t>
            </w:r>
          </w:p>
        </w:tc>
        <w:tc>
          <w:tcPr>
            <w:tcW w:w="72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Leaf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Size</w:t>
            </w:r>
          </w:p>
        </w:tc>
        <w:tc>
          <w:tcPr>
            <w:tcW w:w="99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Branch Number</w:t>
            </w:r>
          </w:p>
        </w:tc>
        <w:tc>
          <w:tcPr>
            <w:tcW w:w="81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Head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08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Head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Diameter</w:t>
            </w:r>
          </w:p>
        </w:tc>
        <w:tc>
          <w:tcPr>
            <w:tcW w:w="90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Days to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Flower</w:t>
            </w:r>
          </w:p>
        </w:tc>
        <w:tc>
          <w:tcPr>
            <w:tcW w:w="81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Leaf P</w:t>
            </w: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Water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Content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Fecundity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0.30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-0.26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-0.08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Stem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Diameter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-0.13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-0.20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Plant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-0.04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-0.13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Petiole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Length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-0.15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-0.19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Leaf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-0.11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-0.25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Branch Number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-0.21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-0.21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Head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-0.20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-0.16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Head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Diameter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0.28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-0.11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Days to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Flower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0.26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0.22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-0.19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-0.25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Leaf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P</w:t>
            </w: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-0.02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-0.07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-0.18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-0.09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0.00</w:t>
            </w:r>
          </w:p>
        </w:tc>
      </w:tr>
      <w:tr w:rsidR="006A087B" w:rsidRPr="005E6EBE" w:rsidTr="00034FA5">
        <w:trPr>
          <w:trHeight w:val="304"/>
        </w:trPr>
        <w:tc>
          <w:tcPr>
            <w:tcW w:w="1260" w:type="dxa"/>
            <w:noWrap/>
          </w:tcPr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Water </w:t>
            </w:r>
          </w:p>
          <w:p w:rsidR="006A087B" w:rsidRPr="00E6487B" w:rsidRDefault="006A087B" w:rsidP="00034FA5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E6487B">
              <w:rPr>
                <w:rFonts w:ascii="Calibri" w:hAnsi="Calibri"/>
                <w:b/>
                <w:color w:val="000000"/>
                <w:sz w:val="20"/>
                <w:szCs w:val="20"/>
              </w:rPr>
              <w:t>Content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-0.07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72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-0.03</w:t>
            </w:r>
          </w:p>
        </w:tc>
        <w:tc>
          <w:tcPr>
            <w:tcW w:w="99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108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-0.11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-0.38</w:t>
            </w:r>
          </w:p>
        </w:tc>
        <w:tc>
          <w:tcPr>
            <w:tcW w:w="81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900" w:type="dxa"/>
            <w:noWrap/>
          </w:tcPr>
          <w:p w:rsidR="006A087B" w:rsidRDefault="006A087B" w:rsidP="00034F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6A087B" w:rsidRDefault="006A087B" w:rsidP="006A087B">
      <w:pPr>
        <w:rPr>
          <w:sz w:val="20"/>
          <w:szCs w:val="20"/>
        </w:rPr>
      </w:pPr>
    </w:p>
    <w:p w:rsidR="00827E5B" w:rsidRDefault="006A087B" w:rsidP="006A087B">
      <w:r>
        <w:rPr>
          <w:sz w:val="20"/>
          <w:szCs w:val="20"/>
        </w:rPr>
        <w:t>Bivariate</w:t>
      </w:r>
      <w:r w:rsidRPr="00BA72D0">
        <w:rPr>
          <w:sz w:val="20"/>
          <w:szCs w:val="20"/>
        </w:rPr>
        <w:t xml:space="preserve"> genotypic correlations measured in sunflower cultivar (cmsHA89) x wild (ann1238) hybrids recombinant inbred lines (RILs) exposed to two watering treatments. Pearson correl</w:t>
      </w:r>
      <w:r>
        <w:rPr>
          <w:sz w:val="20"/>
          <w:szCs w:val="20"/>
        </w:rPr>
        <w:t xml:space="preserve">ation coefficients for the control and low </w:t>
      </w:r>
      <w:r w:rsidRPr="00BA72D0">
        <w:rPr>
          <w:sz w:val="20"/>
          <w:szCs w:val="20"/>
        </w:rPr>
        <w:t xml:space="preserve">water </w:t>
      </w:r>
      <w:r>
        <w:rPr>
          <w:sz w:val="20"/>
          <w:szCs w:val="20"/>
        </w:rPr>
        <w:t>treatments are shown in the upper and lower portions</w:t>
      </w:r>
      <w:r w:rsidRPr="00BA72D0">
        <w:rPr>
          <w:sz w:val="20"/>
          <w:szCs w:val="20"/>
        </w:rPr>
        <w:t>, respectively. Significant relationships (</w:t>
      </w:r>
      <w:r w:rsidRPr="00BA72D0">
        <w:rPr>
          <w:i/>
          <w:sz w:val="20"/>
          <w:szCs w:val="20"/>
        </w:rPr>
        <w:t>P</w:t>
      </w:r>
      <w:r w:rsidRPr="00BA72D0">
        <w:rPr>
          <w:sz w:val="20"/>
          <w:szCs w:val="20"/>
        </w:rPr>
        <w:t xml:space="preserve"> &lt; </w:t>
      </w:r>
      <w:r>
        <w:rPr>
          <w:sz w:val="20"/>
          <w:szCs w:val="20"/>
        </w:rPr>
        <w:t>0</w:t>
      </w:r>
      <w:r w:rsidRPr="00BA72D0">
        <w:rPr>
          <w:sz w:val="20"/>
          <w:szCs w:val="20"/>
        </w:rPr>
        <w:t>.05) are bolded after adjustment u</w:t>
      </w:r>
      <w:r>
        <w:rPr>
          <w:sz w:val="20"/>
          <w:szCs w:val="20"/>
        </w:rPr>
        <w:t>sing the Holm-</w:t>
      </w:r>
      <w:proofErr w:type="spellStart"/>
      <w:r>
        <w:rPr>
          <w:sz w:val="20"/>
          <w:szCs w:val="20"/>
        </w:rPr>
        <w:t>Bonferroni</w:t>
      </w:r>
      <w:proofErr w:type="spellEnd"/>
      <w:r>
        <w:rPr>
          <w:sz w:val="20"/>
          <w:szCs w:val="20"/>
        </w:rPr>
        <w:t xml:space="preserve"> method.</w:t>
      </w:r>
    </w:p>
    <w:sectPr w:rsidR="00827E5B" w:rsidSect="006A08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7B"/>
    <w:rsid w:val="003876D1"/>
    <w:rsid w:val="005D4C0A"/>
    <w:rsid w:val="006A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Birkin Richard Owart</dc:creator>
  <cp:lastModifiedBy>Birkin Richard Owart</cp:lastModifiedBy>
  <cp:revision>1</cp:revision>
  <dcterms:created xsi:type="dcterms:W3CDTF">2014-06-25T23:41:00Z</dcterms:created>
  <dcterms:modified xsi:type="dcterms:W3CDTF">2014-06-25T23:42:00Z</dcterms:modified>
</cp:coreProperties>
</file>